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77" w:rsidRDefault="00556ACF" w:rsidP="00BA7C77">
      <w:pPr>
        <w:spacing w:after="0"/>
        <w:jc w:val="center"/>
        <w:rPr>
          <w:rFonts w:ascii="Arial" w:eastAsia="Calibri" w:hAnsi="Arial" w:cs="Arial"/>
          <w:b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A vállalati szektorhoz kapc</w:t>
      </w:r>
      <w:r w:rsidR="00BA7C77">
        <w:rPr>
          <w:rFonts w:ascii="Arial" w:eastAsia="Calibri" w:hAnsi="Arial" w:cs="Arial"/>
          <w:b/>
          <w:color w:val="0070C0"/>
          <w:sz w:val="24"/>
          <w:szCs w:val="28"/>
        </w:rPr>
        <w:t>solódó</w:t>
      </w:r>
    </w:p>
    <w:p w:rsidR="0080298A" w:rsidRPr="00BA7C77" w:rsidRDefault="00305AF3" w:rsidP="00557939">
      <w:pPr>
        <w:spacing w:after="120"/>
        <w:jc w:val="center"/>
        <w:rPr>
          <w:rFonts w:ascii="Arial" w:eastAsia="Calibri" w:hAnsi="Arial" w:cs="Arial"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közigazgatási</w:t>
      </w:r>
      <w:r w:rsidR="004E6A5F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proofErr w:type="gramStart"/>
      <w:r w:rsidR="009B6305" w:rsidRPr="00BA7C77">
        <w:rPr>
          <w:rFonts w:ascii="Arial" w:eastAsia="Calibri" w:hAnsi="Arial" w:cs="Arial"/>
          <w:b/>
          <w:color w:val="0070C0"/>
          <w:sz w:val="24"/>
          <w:szCs w:val="28"/>
        </w:rPr>
        <w:t xml:space="preserve">bürokrácia </w:t>
      </w:r>
      <w:r w:rsidR="00556ACF" w:rsidRPr="00BA7C77">
        <w:rPr>
          <w:rFonts w:ascii="Arial" w:eastAsia="Calibri" w:hAnsi="Arial" w:cs="Arial"/>
          <w:b/>
          <w:color w:val="0070C0"/>
          <w:sz w:val="24"/>
          <w:szCs w:val="28"/>
        </w:rPr>
        <w:t>csökkentési</w:t>
      </w:r>
      <w:proofErr w:type="gramEnd"/>
      <w:r w:rsidR="004E6A5F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r w:rsidR="003E543F" w:rsidRPr="00BA7C77">
        <w:rPr>
          <w:rFonts w:ascii="Arial" w:eastAsia="Calibri" w:hAnsi="Arial" w:cs="Arial"/>
          <w:b/>
          <w:color w:val="0070C0"/>
          <w:sz w:val="24"/>
          <w:szCs w:val="28"/>
        </w:rPr>
        <w:t>konferenciasorozat</w:t>
      </w:r>
    </w:p>
    <w:p w:rsidR="001514FB" w:rsidRPr="00557939" w:rsidRDefault="002E5E47" w:rsidP="00BA7C77">
      <w:pPr>
        <w:spacing w:after="120" w:line="240" w:lineRule="auto"/>
        <w:ind w:left="4961"/>
        <w:jc w:val="right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color w:val="0070C0"/>
          <w:sz w:val="21"/>
          <w:szCs w:val="21"/>
        </w:rPr>
        <w:t xml:space="preserve">Pest </w:t>
      </w:r>
      <w:r w:rsidR="0005528B" w:rsidRPr="00557939">
        <w:rPr>
          <w:rFonts w:ascii="Arial" w:eastAsia="Calibri" w:hAnsi="Arial" w:cs="Arial"/>
          <w:color w:val="0070C0"/>
          <w:sz w:val="21"/>
          <w:szCs w:val="21"/>
        </w:rPr>
        <w:t xml:space="preserve">Megyei </w:t>
      </w:r>
      <w:r w:rsidR="001514FB" w:rsidRPr="00557939">
        <w:rPr>
          <w:rFonts w:ascii="Arial" w:eastAsia="Calibri" w:hAnsi="Arial" w:cs="Arial"/>
          <w:color w:val="0070C0"/>
          <w:sz w:val="21"/>
          <w:szCs w:val="21"/>
        </w:rPr>
        <w:t>Kormányhivatal</w:t>
      </w:r>
    </w:p>
    <w:p w:rsidR="00BC67BF" w:rsidRPr="00BC67BF" w:rsidRDefault="002E5E47" w:rsidP="00EC605D">
      <w:pPr>
        <w:spacing w:after="0" w:line="240" w:lineRule="auto"/>
        <w:ind w:left="6096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2700 Cegléd </w:t>
      </w:r>
      <w:r w:rsidR="00EC605D">
        <w:rPr>
          <w:rFonts w:ascii="Arial" w:eastAsia="Calibri" w:hAnsi="Arial" w:cs="Arial"/>
          <w:sz w:val="21"/>
          <w:szCs w:val="21"/>
        </w:rPr>
        <w:br/>
        <w:t>Városháza Díszterme</w:t>
      </w:r>
    </w:p>
    <w:p w:rsidR="0096503C" w:rsidRPr="00BC67BF" w:rsidRDefault="00EC605D" w:rsidP="00EC605D">
      <w:pPr>
        <w:spacing w:after="0" w:line="240" w:lineRule="auto"/>
        <w:ind w:left="6096"/>
        <w:jc w:val="right"/>
        <w:rPr>
          <w:rFonts w:ascii="Arial" w:eastAsia="Calibri" w:hAnsi="Arial" w:cs="Arial"/>
          <w:sz w:val="21"/>
          <w:szCs w:val="21"/>
        </w:rPr>
      </w:pPr>
      <w:r>
        <w:rPr>
          <w:rStyle w:val="xbe"/>
          <w:rFonts w:ascii="Arial" w:hAnsi="Arial" w:cs="Arial"/>
          <w:color w:val="222222"/>
          <w:sz w:val="21"/>
          <w:szCs w:val="21"/>
        </w:rPr>
        <w:t xml:space="preserve">   Kossuth tér 1.</w:t>
      </w:r>
    </w:p>
    <w:p w:rsidR="000610BC" w:rsidRPr="00BC67BF" w:rsidRDefault="00806433" w:rsidP="00EC605D">
      <w:pPr>
        <w:spacing w:after="0"/>
        <w:ind w:left="6521" w:firstLine="709"/>
        <w:jc w:val="right"/>
        <w:rPr>
          <w:rFonts w:ascii="Arial" w:eastAsia="Calibri" w:hAnsi="Arial" w:cs="Arial"/>
          <w:sz w:val="21"/>
          <w:szCs w:val="21"/>
        </w:rPr>
      </w:pPr>
      <w:r w:rsidRPr="00BC67BF">
        <w:rPr>
          <w:rFonts w:ascii="Arial" w:eastAsia="Calibri" w:hAnsi="Arial" w:cs="Arial"/>
          <w:sz w:val="21"/>
          <w:szCs w:val="21"/>
        </w:rPr>
        <w:t>2016. máju</w:t>
      </w:r>
      <w:r w:rsidR="00556ACF" w:rsidRPr="00BC67BF">
        <w:rPr>
          <w:rFonts w:ascii="Arial" w:eastAsia="Calibri" w:hAnsi="Arial" w:cs="Arial"/>
          <w:sz w:val="21"/>
          <w:szCs w:val="21"/>
        </w:rPr>
        <w:t>s</w:t>
      </w:r>
      <w:r w:rsidR="00EC605D">
        <w:rPr>
          <w:rFonts w:ascii="Arial" w:eastAsia="Calibri" w:hAnsi="Arial" w:cs="Arial"/>
          <w:sz w:val="21"/>
          <w:szCs w:val="21"/>
        </w:rPr>
        <w:t xml:space="preserve"> 11.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654"/>
      </w:tblGrid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8.30 – 9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R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egisztráció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</w:t>
            </w:r>
            <w:r w:rsidR="005D02F1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 –</w:t>
            </w: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 xml:space="preserve"> 9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öszöntő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2E5E47" w:rsidP="00220578">
            <w:pPr>
              <w:spacing w:before="120"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</w:rPr>
              <w:t xml:space="preserve">dr. Tarnai Richárd </w:t>
            </w:r>
            <w:r w:rsidR="00220578" w:rsidRPr="00220578">
              <w:rPr>
                <w:rFonts w:ascii="Arial" w:hAnsi="Arial" w:cs="Arial"/>
                <w:b/>
              </w:rPr>
              <w:t xml:space="preserve"> kormánymegbízott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</w:t>
            </w:r>
            <w:r>
              <w:rPr>
                <w:rFonts w:ascii="Arial" w:hAnsi="Arial" w:cs="Arial"/>
                <w:szCs w:val="21"/>
              </w:rPr>
              <w:t>Pest</w:t>
            </w:r>
            <w:r w:rsidR="00220578">
              <w:rPr>
                <w:rFonts w:ascii="Arial" w:hAnsi="Arial" w:cs="Arial"/>
                <w:szCs w:val="21"/>
              </w:rPr>
              <w:t xml:space="preserve"> Megyei K</w:t>
            </w:r>
            <w:r w:rsidR="00557939" w:rsidRPr="00AF28EF">
              <w:rPr>
                <w:rFonts w:ascii="Arial" w:hAnsi="Arial" w:cs="Arial"/>
                <w:szCs w:val="21"/>
              </w:rPr>
              <w:t>ormányhivatal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7E4C8F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dr. Zöld-Nagy Viktória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 területi közigazgatás</w:t>
            </w:r>
            <w:r>
              <w:rPr>
                <w:rFonts w:ascii="Arial" w:hAnsi="Arial" w:cs="Arial"/>
                <w:b/>
                <w:szCs w:val="21"/>
              </w:rPr>
              <w:t xml:space="preserve"> fejlesztésé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ért felelős </w:t>
            </w:r>
            <w:r>
              <w:rPr>
                <w:rFonts w:ascii="Arial" w:hAnsi="Arial" w:cs="Arial"/>
                <w:b/>
                <w:szCs w:val="21"/>
              </w:rPr>
              <w:t xml:space="preserve">helyettes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Miniszterelnökség</w:t>
            </w:r>
          </w:p>
          <w:p w:rsidR="00557939" w:rsidRPr="00AF28EF" w:rsidRDefault="002E5E47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 w:rsidRPr="00D57208">
              <w:rPr>
                <w:rFonts w:ascii="Arial" w:hAnsi="Arial" w:cs="Arial"/>
                <w:b/>
                <w:szCs w:val="21"/>
              </w:rPr>
              <w:t>dr. Szeleczki Zsuzsanna Hatósági és felügyeleti ügyekért felelős helyettes államtitkár</w:t>
            </w:r>
            <w:r w:rsidRPr="00D57208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2E5E47" w:rsidP="002E5E47">
            <w:pPr>
              <w:spacing w:after="120" w:line="276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      Marjay </w:t>
            </w:r>
            <w:proofErr w:type="spellStart"/>
            <w:r>
              <w:rPr>
                <w:rFonts w:ascii="Arial" w:hAnsi="Arial" w:cs="Arial"/>
                <w:b/>
                <w:szCs w:val="21"/>
              </w:rPr>
              <w:t>Gyula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e</w:t>
            </w:r>
            <w:proofErr w:type="spellEnd"/>
            <w:r w:rsidR="004E6A5F">
              <w:rPr>
                <w:rFonts w:ascii="Arial" w:hAnsi="Arial" w:cs="Arial"/>
                <w:b/>
                <w:szCs w:val="21"/>
              </w:rPr>
              <w:t xml:space="preserve"> </w:t>
            </w:r>
            <w:proofErr w:type="spellStart"/>
            <w:r w:rsidR="00557939" w:rsidRPr="00AF28EF">
              <w:rPr>
                <w:rFonts w:ascii="Arial" w:hAnsi="Arial" w:cs="Arial"/>
                <w:b/>
                <w:szCs w:val="21"/>
              </w:rPr>
              <w:t>lnök</w:t>
            </w:r>
            <w:proofErr w:type="spellEnd"/>
            <w:r w:rsidR="00557939" w:rsidRPr="00AF28EF">
              <w:rPr>
                <w:rFonts w:ascii="Arial" w:hAnsi="Arial" w:cs="Arial"/>
                <w:szCs w:val="21"/>
              </w:rPr>
              <w:t>, Vállalkozók és M</w:t>
            </w:r>
            <w:r>
              <w:rPr>
                <w:rFonts w:ascii="Arial" w:hAnsi="Arial" w:cs="Arial"/>
                <w:szCs w:val="21"/>
              </w:rPr>
              <w:t xml:space="preserve">unkáltatók Országos </w:t>
            </w:r>
            <w:proofErr w:type="gramStart"/>
            <w:r>
              <w:rPr>
                <w:rFonts w:ascii="Arial" w:hAnsi="Arial" w:cs="Arial"/>
                <w:szCs w:val="21"/>
              </w:rPr>
              <w:t xml:space="preserve">Szövetsége   </w:t>
            </w:r>
            <w:r>
              <w:rPr>
                <w:rFonts w:ascii="Arial" w:hAnsi="Arial" w:cs="Arial"/>
                <w:szCs w:val="21"/>
              </w:rPr>
              <w:br/>
              <w:t xml:space="preserve">      Budapesti</w:t>
            </w:r>
            <w:proofErr w:type="gramEnd"/>
            <w:r>
              <w:rPr>
                <w:rFonts w:ascii="Arial" w:hAnsi="Arial" w:cs="Arial"/>
                <w:szCs w:val="21"/>
              </w:rPr>
              <w:t xml:space="preserve"> és Pest</w:t>
            </w:r>
            <w:r w:rsidR="00557939" w:rsidRPr="00AF28EF">
              <w:rPr>
                <w:rFonts w:ascii="Arial" w:hAnsi="Arial" w:cs="Arial"/>
                <w:szCs w:val="21"/>
              </w:rPr>
              <w:t>megye</w:t>
            </w:r>
            <w:r>
              <w:rPr>
                <w:rFonts w:ascii="Arial" w:hAnsi="Arial" w:cs="Arial"/>
                <w:szCs w:val="21"/>
              </w:rPr>
              <w:t>i Regionális Szervezete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9.15 – 10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.45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Kerekasztal beszélgetés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before="120"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7E4C8F" w:rsidP="00481D81">
            <w:pPr>
              <w:spacing w:before="120"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dr. Zöld-Nagy Viktória</w:t>
            </w:r>
            <w:r w:rsidR="00557939" w:rsidRPr="000F40F1">
              <w:rPr>
                <w:rFonts w:ascii="Arial" w:hAnsi="Arial" w:cs="Arial"/>
                <w:b/>
              </w:rPr>
              <w:t xml:space="preserve"> területi közigazgatás</w:t>
            </w:r>
            <w:r>
              <w:rPr>
                <w:rFonts w:ascii="Arial" w:hAnsi="Arial" w:cs="Arial"/>
                <w:b/>
              </w:rPr>
              <w:t xml:space="preserve"> fejlesztésé</w:t>
            </w:r>
            <w:r w:rsidR="00557939" w:rsidRPr="000F40F1">
              <w:rPr>
                <w:rFonts w:ascii="Arial" w:hAnsi="Arial" w:cs="Arial"/>
                <w:b/>
              </w:rPr>
              <w:t xml:space="preserve">ért felelős </w:t>
            </w:r>
            <w:r>
              <w:rPr>
                <w:rFonts w:ascii="Arial" w:hAnsi="Arial" w:cs="Arial"/>
                <w:b/>
              </w:rPr>
              <w:t xml:space="preserve">helyettes </w:t>
            </w:r>
            <w:r w:rsidR="00557939" w:rsidRPr="000F40F1">
              <w:rPr>
                <w:rFonts w:ascii="Arial" w:hAnsi="Arial" w:cs="Arial"/>
                <w:b/>
              </w:rPr>
              <w:t>államtitkár</w:t>
            </w:r>
            <w:r w:rsidR="00557939" w:rsidRPr="000F40F1">
              <w:rPr>
                <w:rFonts w:ascii="Arial" w:hAnsi="Arial" w:cs="Arial"/>
              </w:rPr>
              <w:t>, Miniszterelnökség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2E5E47" w:rsidP="00220578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 w:rsidRPr="00D57208">
              <w:rPr>
                <w:rFonts w:ascii="Arial" w:hAnsi="Arial" w:cs="Arial"/>
                <w:b/>
                <w:szCs w:val="21"/>
              </w:rPr>
              <w:t>dr. Szeleczki Zsuzsanna Hatósági és felügyeleti ügyekért felelős helyettes államtitkár</w:t>
            </w:r>
            <w:r w:rsidRPr="00D57208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C18F7" w:rsidRPr="000F40F1" w:rsidRDefault="00651B40" w:rsidP="008C18F7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felkért vállalkozó</w:t>
            </w:r>
          </w:p>
          <w:p w:rsidR="00557939" w:rsidRPr="000F40F1" w:rsidRDefault="00651B40" w:rsidP="008C18F7">
            <w:pPr>
              <w:spacing w:after="60" w:line="276" w:lineRule="auto"/>
              <w:ind w:left="3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felkért vállalkozó</w:t>
            </w:r>
          </w:p>
        </w:tc>
      </w:tr>
      <w:tr w:rsidR="00557939" w:rsidRPr="00AF28EF" w:rsidTr="00EE63C8">
        <w:trPr>
          <w:trHeight w:val="80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AD5282" w:rsidP="00EC605D">
            <w:pPr>
              <w:spacing w:after="120" w:line="276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Szakértő - </w:t>
            </w:r>
            <w:r w:rsidR="00557939" w:rsidRPr="000F40F1">
              <w:rPr>
                <w:rFonts w:ascii="Arial" w:hAnsi="Arial" w:cs="Arial"/>
              </w:rPr>
              <w:t xml:space="preserve">moderátor: </w:t>
            </w:r>
            <w:r w:rsidR="00557939" w:rsidRPr="000F40F1">
              <w:rPr>
                <w:rFonts w:ascii="Arial" w:hAnsi="Arial" w:cs="Arial"/>
                <w:b/>
              </w:rPr>
              <w:t>Marjay Gyula elnök</w:t>
            </w:r>
            <w:r w:rsidR="00557939" w:rsidRPr="000F40F1">
              <w:rPr>
                <w:rFonts w:ascii="Arial" w:hAnsi="Arial" w:cs="Arial"/>
              </w:rPr>
              <w:t>, Vállalkozók és Munkálta</w:t>
            </w:r>
            <w:r w:rsidR="00EC605D">
              <w:rPr>
                <w:rFonts w:ascii="Arial" w:hAnsi="Arial" w:cs="Arial"/>
              </w:rPr>
              <w:t>tók Országos Szövetsége Budapesti és Pest megyei Regionális Szervezete</w:t>
            </w:r>
            <w:bookmarkStart w:id="0" w:name="_GoBack"/>
            <w:bookmarkEnd w:id="0"/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10.45 – 11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Kávészünet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D5409C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11.00 – 11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A Gazdaságfejlesztési és Innovációs Operatív Program (GINOP) bemutatása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E2759" w:rsidP="00481D81">
            <w:pPr>
              <w:spacing w:before="120"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Ádám Sándor</w:t>
            </w:r>
            <w:r w:rsidR="00DA5B8A">
              <w:rPr>
                <w:rFonts w:ascii="Arial" w:hAnsi="Arial" w:cs="Arial"/>
                <w:b/>
                <w:szCs w:val="21"/>
              </w:rPr>
              <w:t xml:space="preserve"> főosztályvezető</w:t>
            </w:r>
            <w:r w:rsidR="00557939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11.15 – 12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Vállalkozásokat érintő kormányzati bürokráciacsökkentésről szóló műhelymunka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ind w:left="567" w:hanging="250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b/>
                <w:szCs w:val="21"/>
              </w:rPr>
              <w:t>Szabó Dávid főosztályvezető-helyettes</w:t>
            </w:r>
            <w:r w:rsidRPr="00AF28EF">
              <w:rPr>
                <w:rFonts w:ascii="Arial" w:hAnsi="Arial" w:cs="Arial"/>
                <w:szCs w:val="21"/>
              </w:rPr>
              <w:t>, Miniszterelnökség</w:t>
            </w:r>
          </w:p>
        </w:tc>
      </w:tr>
      <w:tr w:rsidR="00557939" w:rsidRPr="00AF28EF" w:rsidTr="00481D81">
        <w:trPr>
          <w:trHeight w:val="70"/>
        </w:trPr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12.15 – 13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Büféebéd</w:t>
            </w:r>
          </w:p>
        </w:tc>
      </w:tr>
    </w:tbl>
    <w:p w:rsidR="000610BC" w:rsidRPr="00557939" w:rsidRDefault="000610BC" w:rsidP="00557939">
      <w:pPr>
        <w:rPr>
          <w:rFonts w:ascii="Arial" w:hAnsi="Arial" w:cs="Arial"/>
          <w:sz w:val="8"/>
        </w:rPr>
      </w:pPr>
    </w:p>
    <w:sectPr w:rsidR="000610BC" w:rsidRPr="00557939" w:rsidSect="00BA7C77">
      <w:headerReference w:type="default" r:id="rId8"/>
      <w:footerReference w:type="default" r:id="rId9"/>
      <w:pgSz w:w="11906" w:h="16838"/>
      <w:pgMar w:top="83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2A0" w:rsidRDefault="000A12A0" w:rsidP="0080298A">
      <w:pPr>
        <w:spacing w:after="0" w:line="240" w:lineRule="auto"/>
      </w:pPr>
      <w:r>
        <w:separator/>
      </w:r>
    </w:p>
  </w:endnote>
  <w:endnote w:type="continuationSeparator" w:id="1">
    <w:p w:rsidR="000A12A0" w:rsidRDefault="000A12A0" w:rsidP="0080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Pr="00557939" w:rsidRDefault="009B6305" w:rsidP="00556ACF">
    <w:pPr>
      <w:pStyle w:val="llb"/>
      <w:rPr>
        <w:rFonts w:ascii="Arial" w:eastAsia="Times New Roman" w:hAnsi="Arial" w:cs="Arial"/>
        <w:sz w:val="18"/>
        <w:szCs w:val="20"/>
      </w:rPr>
    </w:pP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4224020</wp:posOffset>
          </wp:positionH>
          <wp:positionV relativeFrom="paragraph">
            <wp:posOffset>-934102</wp:posOffset>
          </wp:positionV>
          <wp:extent cx="2371725" cy="163992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694" cy="1642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-1062355</wp:posOffset>
          </wp:positionV>
          <wp:extent cx="2562225" cy="177165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77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eastAsia="Times New Roman" w:hAnsi="Arial" w:cs="Arial"/>
        <w:sz w:val="18"/>
        <w:szCs w:val="20"/>
      </w:rPr>
      <w:t xml:space="preserve">KÖFOP-2.3.5-VEKOP-16 A vállalati szektorhoz kapcsolódó közigazgatási </w:t>
    </w:r>
  </w:p>
  <w:p w:rsidR="009B6305" w:rsidRPr="00557939" w:rsidRDefault="009B6305" w:rsidP="00556ACF">
    <w:pPr>
      <w:pStyle w:val="llb"/>
      <w:rPr>
        <w:rFonts w:ascii="Arial" w:hAnsi="Arial" w:cs="Arial"/>
        <w:sz w:val="18"/>
        <w:szCs w:val="20"/>
      </w:rPr>
    </w:pPr>
    <w:r w:rsidRPr="00557939">
      <w:rPr>
        <w:rFonts w:ascii="Arial" w:eastAsia="Times New Roman" w:hAnsi="Arial" w:cs="Arial"/>
        <w:sz w:val="18"/>
        <w:szCs w:val="20"/>
      </w:rPr>
      <w:t>bürokrácia csökkentési program kidolgozása</w:t>
    </w:r>
  </w:p>
  <w:p w:rsidR="009B6305" w:rsidRPr="00557939" w:rsidRDefault="009B6305" w:rsidP="00556ACF">
    <w:pPr>
      <w:pStyle w:val="llb"/>
      <w:rPr>
        <w:rFonts w:ascii="Garamond" w:hAnsi="Garamond" w:cs="Arial"/>
        <w:sz w:val="18"/>
        <w:szCs w:val="20"/>
      </w:rPr>
    </w:pPr>
    <w:r w:rsidRPr="00557939">
      <w:rPr>
        <w:rFonts w:ascii="Garamond" w:hAnsi="Garamond" w:cs="Arial"/>
        <w:i/>
        <w:sz w:val="18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2A0" w:rsidRDefault="000A12A0" w:rsidP="0080298A">
      <w:pPr>
        <w:spacing w:after="0" w:line="240" w:lineRule="auto"/>
      </w:pPr>
      <w:r>
        <w:separator/>
      </w:r>
    </w:p>
  </w:footnote>
  <w:footnote w:type="continuationSeparator" w:id="1">
    <w:p w:rsidR="000A12A0" w:rsidRDefault="000A12A0" w:rsidP="0080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Default="009B6305" w:rsidP="00A524EA">
    <w:pPr>
      <w:pStyle w:val="lfej"/>
      <w:spacing w:after="240"/>
      <w:jc w:val="center"/>
    </w:pPr>
    <w:r>
      <w:rPr>
        <w:noProof/>
      </w:rPr>
      <w:drawing>
        <wp:inline distT="0" distB="0" distL="0" distR="0">
          <wp:extent cx="3267075" cy="697493"/>
          <wp:effectExtent l="0" t="0" r="0" b="762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MSMKH_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733" cy="702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8C4"/>
    <w:multiLevelType w:val="hybridMultilevel"/>
    <w:tmpl w:val="6D28FAAC"/>
    <w:lvl w:ilvl="0" w:tplc="397228D8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107"/>
    <w:multiLevelType w:val="hybridMultilevel"/>
    <w:tmpl w:val="0A3639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32C"/>
    <w:multiLevelType w:val="hybridMultilevel"/>
    <w:tmpl w:val="8096A14E"/>
    <w:lvl w:ilvl="0" w:tplc="F7529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85A"/>
    <w:multiLevelType w:val="hybridMultilevel"/>
    <w:tmpl w:val="2E5260B6"/>
    <w:lvl w:ilvl="0" w:tplc="981CD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5D93"/>
    <w:multiLevelType w:val="hybridMultilevel"/>
    <w:tmpl w:val="84B0D3E8"/>
    <w:lvl w:ilvl="0" w:tplc="18FE2CA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23CE"/>
    <w:multiLevelType w:val="hybridMultilevel"/>
    <w:tmpl w:val="E08C1BBC"/>
    <w:lvl w:ilvl="0" w:tplc="42AE69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238EE"/>
    <w:multiLevelType w:val="hybridMultilevel"/>
    <w:tmpl w:val="729897A2"/>
    <w:lvl w:ilvl="0" w:tplc="5DF85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298A"/>
    <w:rsid w:val="00022145"/>
    <w:rsid w:val="00037D42"/>
    <w:rsid w:val="000440AF"/>
    <w:rsid w:val="0005528B"/>
    <w:rsid w:val="000610BC"/>
    <w:rsid w:val="00082F76"/>
    <w:rsid w:val="00093228"/>
    <w:rsid w:val="000A12A0"/>
    <w:rsid w:val="000C02AD"/>
    <w:rsid w:val="000D455D"/>
    <w:rsid w:val="000D492A"/>
    <w:rsid w:val="000E5878"/>
    <w:rsid w:val="000F40F1"/>
    <w:rsid w:val="001112B3"/>
    <w:rsid w:val="001155AC"/>
    <w:rsid w:val="00121EB9"/>
    <w:rsid w:val="001514FB"/>
    <w:rsid w:val="00174B28"/>
    <w:rsid w:val="0019202D"/>
    <w:rsid w:val="001A00C7"/>
    <w:rsid w:val="001B0A96"/>
    <w:rsid w:val="00220578"/>
    <w:rsid w:val="00225BE5"/>
    <w:rsid w:val="00227658"/>
    <w:rsid w:val="002528D5"/>
    <w:rsid w:val="002D01E1"/>
    <w:rsid w:val="002E5E47"/>
    <w:rsid w:val="00300137"/>
    <w:rsid w:val="00305AF3"/>
    <w:rsid w:val="00324F0D"/>
    <w:rsid w:val="00344829"/>
    <w:rsid w:val="003676A8"/>
    <w:rsid w:val="003A6B14"/>
    <w:rsid w:val="003B055B"/>
    <w:rsid w:val="003B322A"/>
    <w:rsid w:val="003B3BC6"/>
    <w:rsid w:val="003B57A6"/>
    <w:rsid w:val="003D0A72"/>
    <w:rsid w:val="003D4062"/>
    <w:rsid w:val="003E052B"/>
    <w:rsid w:val="003E543F"/>
    <w:rsid w:val="0040153B"/>
    <w:rsid w:val="00413B92"/>
    <w:rsid w:val="00421174"/>
    <w:rsid w:val="00423E4E"/>
    <w:rsid w:val="00435C14"/>
    <w:rsid w:val="00437BF2"/>
    <w:rsid w:val="004739A1"/>
    <w:rsid w:val="00495ED7"/>
    <w:rsid w:val="004E602C"/>
    <w:rsid w:val="004E6A5F"/>
    <w:rsid w:val="004E78E7"/>
    <w:rsid w:val="004F0C8C"/>
    <w:rsid w:val="004F4B74"/>
    <w:rsid w:val="005319C5"/>
    <w:rsid w:val="005330CA"/>
    <w:rsid w:val="00556ACF"/>
    <w:rsid w:val="00557939"/>
    <w:rsid w:val="00573C68"/>
    <w:rsid w:val="005747CA"/>
    <w:rsid w:val="00593C73"/>
    <w:rsid w:val="00597E61"/>
    <w:rsid w:val="005D02F1"/>
    <w:rsid w:val="005D1501"/>
    <w:rsid w:val="005E2759"/>
    <w:rsid w:val="005F10A6"/>
    <w:rsid w:val="00632A0A"/>
    <w:rsid w:val="00633F25"/>
    <w:rsid w:val="0064158C"/>
    <w:rsid w:val="006479E7"/>
    <w:rsid w:val="00651B40"/>
    <w:rsid w:val="00654561"/>
    <w:rsid w:val="006A1B25"/>
    <w:rsid w:val="006A6982"/>
    <w:rsid w:val="006A6B51"/>
    <w:rsid w:val="006B1AD7"/>
    <w:rsid w:val="006C6A17"/>
    <w:rsid w:val="006D2A10"/>
    <w:rsid w:val="006D2F97"/>
    <w:rsid w:val="0076232A"/>
    <w:rsid w:val="00777985"/>
    <w:rsid w:val="007B3338"/>
    <w:rsid w:val="007E4C8F"/>
    <w:rsid w:val="00802433"/>
    <w:rsid w:val="0080298A"/>
    <w:rsid w:val="00806433"/>
    <w:rsid w:val="0081145B"/>
    <w:rsid w:val="00813120"/>
    <w:rsid w:val="00824761"/>
    <w:rsid w:val="00853AD7"/>
    <w:rsid w:val="00854526"/>
    <w:rsid w:val="00863904"/>
    <w:rsid w:val="008710CA"/>
    <w:rsid w:val="00876057"/>
    <w:rsid w:val="0089567A"/>
    <w:rsid w:val="008C18F7"/>
    <w:rsid w:val="008E0863"/>
    <w:rsid w:val="00922F24"/>
    <w:rsid w:val="00924F53"/>
    <w:rsid w:val="0095067F"/>
    <w:rsid w:val="00962142"/>
    <w:rsid w:val="0096503C"/>
    <w:rsid w:val="009709D9"/>
    <w:rsid w:val="009858AF"/>
    <w:rsid w:val="009B39B3"/>
    <w:rsid w:val="009B3D46"/>
    <w:rsid w:val="009B6305"/>
    <w:rsid w:val="009D326A"/>
    <w:rsid w:val="009D6706"/>
    <w:rsid w:val="009E76EA"/>
    <w:rsid w:val="009F6C55"/>
    <w:rsid w:val="00A15AC2"/>
    <w:rsid w:val="00A24C6D"/>
    <w:rsid w:val="00A42F3A"/>
    <w:rsid w:val="00A44C0F"/>
    <w:rsid w:val="00A524EA"/>
    <w:rsid w:val="00A54EE4"/>
    <w:rsid w:val="00A70AE7"/>
    <w:rsid w:val="00A768D3"/>
    <w:rsid w:val="00A855C7"/>
    <w:rsid w:val="00AD5282"/>
    <w:rsid w:val="00AF06B4"/>
    <w:rsid w:val="00B23108"/>
    <w:rsid w:val="00B331F9"/>
    <w:rsid w:val="00B64B60"/>
    <w:rsid w:val="00B83606"/>
    <w:rsid w:val="00B91789"/>
    <w:rsid w:val="00B94254"/>
    <w:rsid w:val="00BA7C77"/>
    <w:rsid w:val="00BC6557"/>
    <w:rsid w:val="00BC67BF"/>
    <w:rsid w:val="00BE7AED"/>
    <w:rsid w:val="00C0627F"/>
    <w:rsid w:val="00C54C55"/>
    <w:rsid w:val="00C741B2"/>
    <w:rsid w:val="00C83090"/>
    <w:rsid w:val="00C92524"/>
    <w:rsid w:val="00CA169D"/>
    <w:rsid w:val="00CD0751"/>
    <w:rsid w:val="00CF2C73"/>
    <w:rsid w:val="00D05BB5"/>
    <w:rsid w:val="00D068CB"/>
    <w:rsid w:val="00D12131"/>
    <w:rsid w:val="00D1331D"/>
    <w:rsid w:val="00D164D7"/>
    <w:rsid w:val="00D42441"/>
    <w:rsid w:val="00D5409C"/>
    <w:rsid w:val="00D84AD2"/>
    <w:rsid w:val="00DA5B8A"/>
    <w:rsid w:val="00DB64C4"/>
    <w:rsid w:val="00DD546A"/>
    <w:rsid w:val="00DF414C"/>
    <w:rsid w:val="00DF4E20"/>
    <w:rsid w:val="00E51A78"/>
    <w:rsid w:val="00E93A0C"/>
    <w:rsid w:val="00E94C80"/>
    <w:rsid w:val="00EB49FB"/>
    <w:rsid w:val="00EC605D"/>
    <w:rsid w:val="00EE63C8"/>
    <w:rsid w:val="00F05B29"/>
    <w:rsid w:val="00F31BB6"/>
    <w:rsid w:val="00F34FE1"/>
    <w:rsid w:val="00F37158"/>
    <w:rsid w:val="00FC1436"/>
    <w:rsid w:val="00FC3615"/>
    <w:rsid w:val="00FC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41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Bekezdsalapbettpusa"/>
    <w:rsid w:val="00BC6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3D4F1-1337-42AB-8BA3-37DB9475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LevaiZs</dc:creator>
  <cp:lastModifiedBy>Szabóné</cp:lastModifiedBy>
  <cp:revision>3</cp:revision>
  <cp:lastPrinted>2016-04-27T13:16:00Z</cp:lastPrinted>
  <dcterms:created xsi:type="dcterms:W3CDTF">2016-04-28T06:38:00Z</dcterms:created>
  <dcterms:modified xsi:type="dcterms:W3CDTF">2016-04-28T06:46:00Z</dcterms:modified>
</cp:coreProperties>
</file>